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73" w:rsidRDefault="00164C73" w:rsidP="00AD379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D265D" w:rsidRDefault="00D53DF2" w:rsidP="00AD379A">
      <w:pPr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  <w:r w:rsidRPr="00D53DF2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674840" cy="1259309"/>
            <wp:effectExtent l="19050" t="0" r="1560" b="0"/>
            <wp:docPr id="4" name="Picture 2" descr="W:\Admin Jan\Promotional Material\Gui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Admin Jan\Promotional Material\Guil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08" cy="126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65D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-120015</wp:posOffset>
            </wp:positionV>
            <wp:extent cx="1073150" cy="1041400"/>
            <wp:effectExtent l="19050" t="0" r="0" b="0"/>
            <wp:wrapNone/>
            <wp:docPr id="9" name="Picture 4" descr="Expert Patients Hectagon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ert Patients Hectagon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41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05C95" w:rsidRDefault="00930F6C" w:rsidP="00AD2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 w:rsidR="003D265D">
        <w:rPr>
          <w:noProof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9467850</wp:posOffset>
            </wp:positionH>
            <wp:positionV relativeFrom="paragraph">
              <wp:posOffset>215900</wp:posOffset>
            </wp:positionV>
            <wp:extent cx="647700" cy="633095"/>
            <wp:effectExtent l="19050" t="0" r="0" b="0"/>
            <wp:wrapNone/>
            <wp:docPr id="7" name="Picture 3" descr="Expert Patients Hectagon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ert Patients Hectagon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30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D265D">
        <w:rPr>
          <w:noProof/>
          <w:lang w:val="en-GB"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9467850</wp:posOffset>
            </wp:positionH>
            <wp:positionV relativeFrom="paragraph">
              <wp:posOffset>215900</wp:posOffset>
            </wp:positionV>
            <wp:extent cx="647700" cy="633095"/>
            <wp:effectExtent l="19050" t="0" r="0" b="0"/>
            <wp:wrapNone/>
            <wp:docPr id="6" name="Picture 2" descr="Expert Patients Hectagon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t Patients Hectagon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30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702B" w:rsidRPr="00356C56" w:rsidRDefault="0097702B" w:rsidP="0097702B">
      <w:pPr>
        <w:jc w:val="center"/>
        <w:rPr>
          <w:rFonts w:ascii="Arial" w:hAnsi="Arial" w:cs="Arial"/>
          <w:b/>
          <w:sz w:val="28"/>
          <w:szCs w:val="28"/>
        </w:rPr>
      </w:pPr>
      <w:r w:rsidRPr="00356C56">
        <w:rPr>
          <w:rFonts w:ascii="Arial" w:hAnsi="Arial" w:cs="Arial"/>
          <w:b/>
          <w:sz w:val="28"/>
          <w:szCs w:val="28"/>
        </w:rPr>
        <w:t>FREE SELF-MANAGEMENT COURSE</w:t>
      </w:r>
    </w:p>
    <w:p w:rsidR="00646114" w:rsidRPr="003D265D" w:rsidRDefault="0097702B" w:rsidP="003D265D">
      <w:pPr>
        <w:jc w:val="center"/>
        <w:rPr>
          <w:rFonts w:ascii="Arial" w:hAnsi="Arial" w:cs="Arial"/>
          <w:b/>
          <w:sz w:val="28"/>
          <w:szCs w:val="28"/>
        </w:rPr>
      </w:pPr>
      <w:r w:rsidRPr="00356C56">
        <w:rPr>
          <w:rFonts w:ascii="Arial" w:hAnsi="Arial" w:cs="Arial"/>
          <w:b/>
          <w:sz w:val="28"/>
          <w:szCs w:val="28"/>
        </w:rPr>
        <w:t>FOR PATIENTS WITH LONG TERM CONDITIONS</w:t>
      </w:r>
    </w:p>
    <w:p w:rsidR="008A0EBF" w:rsidRPr="00356C56" w:rsidRDefault="008A0EBF" w:rsidP="0097702B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56C56">
        <w:rPr>
          <w:rFonts w:ascii="Arial" w:hAnsi="Arial" w:cs="Arial"/>
          <w:sz w:val="28"/>
          <w:szCs w:val="28"/>
        </w:rPr>
        <w:t>The Expert Patient</w:t>
      </w:r>
      <w:r w:rsidR="002D6A77" w:rsidRPr="00356C56">
        <w:rPr>
          <w:rFonts w:ascii="Arial" w:hAnsi="Arial" w:cs="Arial"/>
          <w:sz w:val="28"/>
          <w:szCs w:val="28"/>
        </w:rPr>
        <w:t xml:space="preserve">s </w:t>
      </w:r>
      <w:proofErr w:type="spellStart"/>
      <w:r w:rsidR="002D6A77" w:rsidRPr="00356C56">
        <w:rPr>
          <w:rFonts w:ascii="Arial" w:hAnsi="Arial" w:cs="Arial"/>
          <w:sz w:val="28"/>
          <w:szCs w:val="28"/>
        </w:rPr>
        <w:t>Programme</w:t>
      </w:r>
      <w:proofErr w:type="spellEnd"/>
      <w:r w:rsidRPr="00356C56">
        <w:rPr>
          <w:rFonts w:ascii="Arial" w:hAnsi="Arial" w:cs="Arial"/>
          <w:sz w:val="28"/>
          <w:szCs w:val="28"/>
        </w:rPr>
        <w:t xml:space="preserve"> is a</w:t>
      </w:r>
      <w:r w:rsidR="002D6A77" w:rsidRPr="00356C56">
        <w:rPr>
          <w:rFonts w:ascii="Arial" w:hAnsi="Arial" w:cs="Arial"/>
          <w:sz w:val="28"/>
          <w:szCs w:val="28"/>
        </w:rPr>
        <w:t>n</w:t>
      </w:r>
      <w:r w:rsidRPr="00356C56">
        <w:rPr>
          <w:rFonts w:ascii="Arial" w:hAnsi="Arial" w:cs="Arial"/>
          <w:sz w:val="28"/>
          <w:szCs w:val="28"/>
        </w:rPr>
        <w:t xml:space="preserve"> NHS funded</w:t>
      </w:r>
      <w:r w:rsidR="001D6466" w:rsidRPr="00356C56">
        <w:rPr>
          <w:rFonts w:ascii="Arial" w:hAnsi="Arial" w:cs="Arial"/>
          <w:sz w:val="28"/>
          <w:szCs w:val="28"/>
        </w:rPr>
        <w:t xml:space="preserve"> self-referral</w:t>
      </w:r>
      <w:r w:rsidRPr="00356C56">
        <w:rPr>
          <w:rFonts w:ascii="Arial" w:hAnsi="Arial" w:cs="Arial"/>
          <w:sz w:val="28"/>
          <w:szCs w:val="28"/>
        </w:rPr>
        <w:t xml:space="preserve"> </w:t>
      </w:r>
      <w:r w:rsidR="00B62BB8" w:rsidRPr="00356C56">
        <w:rPr>
          <w:rFonts w:ascii="Arial" w:hAnsi="Arial" w:cs="Arial"/>
          <w:sz w:val="28"/>
          <w:szCs w:val="28"/>
        </w:rPr>
        <w:t xml:space="preserve">chronic disease self-management </w:t>
      </w:r>
      <w:r w:rsidRPr="00356C56">
        <w:rPr>
          <w:rFonts w:ascii="Arial" w:hAnsi="Arial" w:cs="Arial"/>
          <w:sz w:val="28"/>
          <w:szCs w:val="28"/>
        </w:rPr>
        <w:t xml:space="preserve">course that provides opportunities to people who live with any </w:t>
      </w:r>
      <w:r w:rsidR="00E2306B">
        <w:rPr>
          <w:rFonts w:ascii="Arial" w:hAnsi="Arial" w:cs="Arial"/>
          <w:sz w:val="28"/>
          <w:szCs w:val="28"/>
        </w:rPr>
        <w:t xml:space="preserve">long-term physical or low level mental health </w:t>
      </w:r>
      <w:r w:rsidRPr="00356C56">
        <w:rPr>
          <w:rFonts w:ascii="Arial" w:hAnsi="Arial" w:cs="Arial"/>
          <w:sz w:val="28"/>
          <w:szCs w:val="28"/>
        </w:rPr>
        <w:t xml:space="preserve">condition(s) to develop new </w:t>
      </w:r>
      <w:r w:rsidR="00C00B18" w:rsidRPr="00356C56">
        <w:rPr>
          <w:rFonts w:ascii="Arial" w:hAnsi="Arial" w:cs="Arial"/>
          <w:sz w:val="28"/>
          <w:szCs w:val="28"/>
        </w:rPr>
        <w:t>skills to manage their health</w:t>
      </w:r>
      <w:r w:rsidRPr="00356C56">
        <w:rPr>
          <w:rFonts w:ascii="Arial" w:hAnsi="Arial" w:cs="Arial"/>
          <w:sz w:val="28"/>
          <w:szCs w:val="28"/>
        </w:rPr>
        <w:t xml:space="preserve"> better on a day-to-day basis, leading to an improved quality of life. </w:t>
      </w:r>
    </w:p>
    <w:p w:rsidR="00B12C9A" w:rsidRPr="00356C56" w:rsidRDefault="00164C73" w:rsidP="005B3F55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356C56">
        <w:rPr>
          <w:rFonts w:ascii="Arial" w:hAnsi="Arial" w:cs="Arial"/>
          <w:sz w:val="28"/>
          <w:szCs w:val="28"/>
        </w:rPr>
        <w:t xml:space="preserve">The course at </w:t>
      </w:r>
      <w:r w:rsidR="00B12C9A" w:rsidRPr="00356C56">
        <w:rPr>
          <w:rFonts w:ascii="Arial" w:hAnsi="Arial" w:cs="Arial"/>
          <w:sz w:val="28"/>
          <w:szCs w:val="28"/>
        </w:rPr>
        <w:t xml:space="preserve">Guild </w:t>
      </w:r>
      <w:r w:rsidRPr="00356C56">
        <w:rPr>
          <w:rFonts w:ascii="Arial" w:hAnsi="Arial" w:cs="Arial"/>
          <w:sz w:val="28"/>
          <w:szCs w:val="28"/>
        </w:rPr>
        <w:t xml:space="preserve">House, </w:t>
      </w:r>
      <w:proofErr w:type="spellStart"/>
      <w:r w:rsidRPr="00356C56">
        <w:rPr>
          <w:rFonts w:ascii="Arial" w:hAnsi="Arial" w:cs="Arial"/>
          <w:sz w:val="28"/>
          <w:szCs w:val="28"/>
        </w:rPr>
        <w:t>Mannamead</w:t>
      </w:r>
      <w:proofErr w:type="spellEnd"/>
      <w:r w:rsidRPr="00356C56">
        <w:rPr>
          <w:rFonts w:ascii="Arial" w:hAnsi="Arial" w:cs="Arial"/>
          <w:sz w:val="28"/>
          <w:szCs w:val="28"/>
        </w:rPr>
        <w:t>,</w:t>
      </w:r>
      <w:r w:rsidR="00A5444E" w:rsidRPr="00356C56">
        <w:rPr>
          <w:rFonts w:ascii="Arial" w:hAnsi="Arial" w:cs="Arial"/>
          <w:sz w:val="28"/>
          <w:szCs w:val="28"/>
        </w:rPr>
        <w:t xml:space="preserve"> Plymouth,</w:t>
      </w:r>
      <w:r w:rsidRPr="00356C56">
        <w:rPr>
          <w:rFonts w:ascii="Arial" w:hAnsi="Arial" w:cs="Arial"/>
          <w:sz w:val="28"/>
          <w:szCs w:val="28"/>
        </w:rPr>
        <w:t xml:space="preserve"> </w:t>
      </w:r>
      <w:r w:rsidR="00B12C9A" w:rsidRPr="00356C56">
        <w:rPr>
          <w:rFonts w:ascii="Arial" w:hAnsi="Arial" w:cs="Arial"/>
          <w:sz w:val="28"/>
          <w:szCs w:val="28"/>
        </w:rPr>
        <w:t xml:space="preserve">is </w:t>
      </w:r>
      <w:r w:rsidR="008A0EBF" w:rsidRPr="00356C56">
        <w:rPr>
          <w:rFonts w:ascii="Arial" w:hAnsi="Arial" w:cs="Arial"/>
          <w:sz w:val="28"/>
          <w:szCs w:val="28"/>
        </w:rPr>
        <w:t xml:space="preserve">run over six consecutive weekly sessions of 2½ hours each week and is </w:t>
      </w:r>
      <w:r w:rsidR="008A0EBF" w:rsidRPr="00356C56">
        <w:rPr>
          <w:rFonts w:ascii="Arial" w:hAnsi="Arial" w:cs="Arial"/>
          <w:sz w:val="28"/>
          <w:szCs w:val="28"/>
          <w:u w:val="single"/>
        </w:rPr>
        <w:t>free</w:t>
      </w:r>
      <w:r w:rsidR="006C3CB9" w:rsidRPr="00356C56">
        <w:rPr>
          <w:rFonts w:ascii="Arial" w:hAnsi="Arial" w:cs="Arial"/>
          <w:sz w:val="28"/>
          <w:szCs w:val="28"/>
        </w:rPr>
        <w:t>.</w:t>
      </w:r>
      <w:r w:rsidR="008A0EBF" w:rsidRPr="00356C56">
        <w:rPr>
          <w:rFonts w:ascii="Arial" w:hAnsi="Arial" w:cs="Arial"/>
          <w:sz w:val="28"/>
          <w:szCs w:val="28"/>
        </w:rPr>
        <w:t xml:space="preserve">  Each w</w:t>
      </w:r>
      <w:r w:rsidR="00A14334" w:rsidRPr="00356C56">
        <w:rPr>
          <w:rFonts w:ascii="Arial" w:hAnsi="Arial" w:cs="Arial"/>
          <w:sz w:val="28"/>
          <w:szCs w:val="28"/>
        </w:rPr>
        <w:t>eek, two volunteer tutors</w:t>
      </w:r>
      <w:r w:rsidR="001C0668" w:rsidRPr="00356C56">
        <w:rPr>
          <w:rFonts w:ascii="Arial" w:hAnsi="Arial" w:cs="Arial"/>
          <w:sz w:val="28"/>
          <w:szCs w:val="28"/>
        </w:rPr>
        <w:t xml:space="preserve"> who live with long term conditions themselves,</w:t>
      </w:r>
      <w:r w:rsidR="00A14334" w:rsidRPr="00356C56">
        <w:rPr>
          <w:rFonts w:ascii="Arial" w:hAnsi="Arial" w:cs="Arial"/>
          <w:sz w:val="28"/>
          <w:szCs w:val="28"/>
        </w:rPr>
        <w:t xml:space="preserve"> lead 10</w:t>
      </w:r>
      <w:r w:rsidR="008A0EBF" w:rsidRPr="00356C56">
        <w:rPr>
          <w:rFonts w:ascii="Arial" w:hAnsi="Arial" w:cs="Arial"/>
          <w:sz w:val="28"/>
          <w:szCs w:val="28"/>
        </w:rPr>
        <w:t>-1</w:t>
      </w:r>
      <w:r w:rsidR="00DA03DB" w:rsidRPr="00356C56">
        <w:rPr>
          <w:rFonts w:ascii="Arial" w:hAnsi="Arial" w:cs="Arial"/>
          <w:sz w:val="28"/>
          <w:szCs w:val="28"/>
        </w:rPr>
        <w:t>4</w:t>
      </w:r>
      <w:r w:rsidR="008A0EBF" w:rsidRPr="00356C56">
        <w:rPr>
          <w:rFonts w:ascii="Arial" w:hAnsi="Arial" w:cs="Arial"/>
          <w:sz w:val="28"/>
          <w:szCs w:val="28"/>
        </w:rPr>
        <w:t xml:space="preserve"> participants through structured course material such as </w:t>
      </w:r>
      <w:r w:rsidR="006C3CB9" w:rsidRPr="00356C56">
        <w:rPr>
          <w:rFonts w:ascii="Arial" w:hAnsi="Arial" w:cs="Arial"/>
          <w:sz w:val="28"/>
          <w:szCs w:val="28"/>
        </w:rPr>
        <w:t xml:space="preserve">managing pain, fatigue and depression, </w:t>
      </w:r>
      <w:r w:rsidR="008A0EBF" w:rsidRPr="00356C56">
        <w:rPr>
          <w:rFonts w:ascii="Arial" w:hAnsi="Arial" w:cs="Arial"/>
          <w:sz w:val="28"/>
          <w:szCs w:val="28"/>
        </w:rPr>
        <w:t>relax</w:t>
      </w:r>
      <w:r w:rsidR="006C3CB9" w:rsidRPr="00356C56">
        <w:rPr>
          <w:rFonts w:ascii="Arial" w:hAnsi="Arial" w:cs="Arial"/>
          <w:sz w:val="28"/>
          <w:szCs w:val="28"/>
        </w:rPr>
        <w:t>ation, healthy eating,</w:t>
      </w:r>
      <w:r w:rsidR="008A0EBF" w:rsidRPr="00356C56">
        <w:rPr>
          <w:rFonts w:ascii="Arial" w:hAnsi="Arial" w:cs="Arial"/>
          <w:sz w:val="28"/>
          <w:szCs w:val="28"/>
        </w:rPr>
        <w:t xml:space="preserve"> exerci</w:t>
      </w:r>
      <w:r w:rsidR="006C3CB9" w:rsidRPr="00356C56">
        <w:rPr>
          <w:rFonts w:ascii="Arial" w:hAnsi="Arial" w:cs="Arial"/>
          <w:sz w:val="28"/>
          <w:szCs w:val="28"/>
        </w:rPr>
        <w:t>se, breaking the symptom cycle</w:t>
      </w:r>
      <w:r w:rsidR="006737CF" w:rsidRPr="00356C56">
        <w:rPr>
          <w:rFonts w:ascii="Arial" w:hAnsi="Arial" w:cs="Arial"/>
          <w:sz w:val="28"/>
          <w:szCs w:val="28"/>
        </w:rPr>
        <w:t xml:space="preserve">, </w:t>
      </w:r>
      <w:r w:rsidR="00AA2923">
        <w:rPr>
          <w:rFonts w:ascii="Arial" w:hAnsi="Arial" w:cs="Arial"/>
          <w:sz w:val="28"/>
          <w:szCs w:val="28"/>
        </w:rPr>
        <w:t xml:space="preserve">sleep, falls, </w:t>
      </w:r>
      <w:r w:rsidR="006737CF" w:rsidRPr="00356C56">
        <w:rPr>
          <w:rFonts w:ascii="Arial" w:hAnsi="Arial" w:cs="Arial"/>
          <w:sz w:val="28"/>
          <w:szCs w:val="28"/>
        </w:rPr>
        <w:t>medicatio</w:t>
      </w:r>
      <w:r w:rsidR="001C0668" w:rsidRPr="00356C56">
        <w:rPr>
          <w:rFonts w:ascii="Arial" w:hAnsi="Arial" w:cs="Arial"/>
          <w:sz w:val="28"/>
          <w:szCs w:val="28"/>
        </w:rPr>
        <w:t xml:space="preserve">n usage, understanding emotions, working with healthcare professionals </w:t>
      </w:r>
      <w:r w:rsidR="006737CF" w:rsidRPr="00356C56">
        <w:rPr>
          <w:rFonts w:ascii="Arial" w:hAnsi="Arial" w:cs="Arial"/>
          <w:sz w:val="28"/>
          <w:szCs w:val="28"/>
        </w:rPr>
        <w:t xml:space="preserve">and </w:t>
      </w:r>
      <w:r w:rsidR="008A0EBF" w:rsidRPr="00356C56">
        <w:rPr>
          <w:rFonts w:ascii="Arial" w:hAnsi="Arial" w:cs="Arial"/>
          <w:sz w:val="28"/>
          <w:szCs w:val="28"/>
        </w:rPr>
        <w:t>communication.   People who have taken part in an EPP course have reported that it has helped them to manage their conditions</w:t>
      </w:r>
      <w:r w:rsidR="002C516E" w:rsidRPr="00356C56">
        <w:rPr>
          <w:rFonts w:ascii="Arial" w:hAnsi="Arial" w:cs="Arial"/>
          <w:sz w:val="28"/>
          <w:szCs w:val="28"/>
        </w:rPr>
        <w:t xml:space="preserve"> and treatment more effectively</w:t>
      </w:r>
      <w:r w:rsidR="008A0EBF" w:rsidRPr="00356C56">
        <w:rPr>
          <w:rFonts w:ascii="Arial" w:hAnsi="Arial" w:cs="Arial"/>
          <w:sz w:val="28"/>
          <w:szCs w:val="28"/>
        </w:rPr>
        <w:t xml:space="preserve"> in partnership with healthcare professionals, and </w:t>
      </w:r>
      <w:r w:rsidR="002D6A77" w:rsidRPr="00356C56">
        <w:rPr>
          <w:rFonts w:ascii="Arial" w:hAnsi="Arial" w:cs="Arial"/>
          <w:sz w:val="28"/>
          <w:szCs w:val="28"/>
        </w:rPr>
        <w:t xml:space="preserve">they </w:t>
      </w:r>
      <w:r w:rsidR="00537D6D" w:rsidRPr="00356C56">
        <w:rPr>
          <w:rFonts w:ascii="Arial" w:hAnsi="Arial" w:cs="Arial"/>
          <w:sz w:val="28"/>
          <w:szCs w:val="28"/>
        </w:rPr>
        <w:t xml:space="preserve">feel more confident and </w:t>
      </w:r>
      <w:r w:rsidR="008A0EBF" w:rsidRPr="00356C56">
        <w:rPr>
          <w:rFonts w:ascii="Arial" w:hAnsi="Arial" w:cs="Arial"/>
          <w:sz w:val="28"/>
          <w:szCs w:val="28"/>
        </w:rPr>
        <w:t xml:space="preserve">in control of their life. </w:t>
      </w:r>
      <w:r w:rsidR="006C3CB9" w:rsidRPr="00356C56">
        <w:rPr>
          <w:rFonts w:ascii="Arial" w:hAnsi="Arial" w:cs="Arial"/>
          <w:sz w:val="28"/>
          <w:szCs w:val="28"/>
        </w:rPr>
        <w:t xml:space="preserve"> </w:t>
      </w:r>
    </w:p>
    <w:p w:rsidR="00356C56" w:rsidRPr="00505C95" w:rsidRDefault="000C3ED9" w:rsidP="00D77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7B6D0A" w:rsidRPr="00505C95">
        <w:rPr>
          <w:rFonts w:ascii="Arial" w:hAnsi="Arial" w:cs="Arial"/>
          <w:b/>
          <w:sz w:val="28"/>
          <w:szCs w:val="28"/>
        </w:rPr>
        <w:t xml:space="preserve"> courses are run</w:t>
      </w:r>
      <w:r w:rsidR="006218D8" w:rsidRPr="00505C95">
        <w:rPr>
          <w:rFonts w:ascii="Arial" w:hAnsi="Arial" w:cs="Arial"/>
          <w:b/>
          <w:sz w:val="28"/>
          <w:szCs w:val="28"/>
        </w:rPr>
        <w:t xml:space="preserve"> on different days</w:t>
      </w:r>
      <w:r w:rsidR="007B6D0A" w:rsidRPr="00505C95">
        <w:rPr>
          <w:rFonts w:ascii="Arial" w:hAnsi="Arial" w:cs="Arial"/>
          <w:b/>
          <w:sz w:val="28"/>
          <w:szCs w:val="28"/>
        </w:rPr>
        <w:t xml:space="preserve"> throughout the year from either </w:t>
      </w:r>
    </w:p>
    <w:p w:rsidR="00356C56" w:rsidRPr="00505C95" w:rsidRDefault="007B6D0A" w:rsidP="00D77AEB">
      <w:pPr>
        <w:jc w:val="center"/>
        <w:rPr>
          <w:rFonts w:ascii="Arial" w:hAnsi="Arial" w:cs="Arial"/>
          <w:b/>
          <w:sz w:val="28"/>
          <w:szCs w:val="28"/>
        </w:rPr>
      </w:pPr>
      <w:r w:rsidRPr="00505C95">
        <w:rPr>
          <w:rFonts w:ascii="Arial" w:hAnsi="Arial" w:cs="Arial"/>
          <w:b/>
          <w:sz w:val="28"/>
          <w:szCs w:val="28"/>
        </w:rPr>
        <w:t xml:space="preserve">10am-12.30pm or 2pm-4.30pm </w:t>
      </w:r>
    </w:p>
    <w:p w:rsidR="00505C95" w:rsidRPr="00505C95" w:rsidRDefault="00505C95" w:rsidP="00D77AEB">
      <w:pPr>
        <w:jc w:val="center"/>
        <w:rPr>
          <w:rFonts w:ascii="Arial" w:hAnsi="Arial" w:cs="Arial"/>
          <w:b/>
          <w:sz w:val="28"/>
          <w:szCs w:val="28"/>
        </w:rPr>
      </w:pPr>
    </w:p>
    <w:p w:rsidR="00505C95" w:rsidRPr="00505C95" w:rsidRDefault="007B6D0A" w:rsidP="00D77AE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05C95">
        <w:rPr>
          <w:rFonts w:ascii="Arial" w:hAnsi="Arial" w:cs="Arial"/>
          <w:b/>
          <w:sz w:val="28"/>
          <w:szCs w:val="28"/>
        </w:rPr>
        <w:t>at</w:t>
      </w:r>
      <w:proofErr w:type="gramEnd"/>
      <w:r w:rsidRPr="00505C95">
        <w:rPr>
          <w:rFonts w:ascii="Arial" w:hAnsi="Arial" w:cs="Arial"/>
          <w:b/>
          <w:sz w:val="28"/>
          <w:szCs w:val="28"/>
        </w:rPr>
        <w:t xml:space="preserve"> Plymouth Guild, Guild House, </w:t>
      </w:r>
    </w:p>
    <w:p w:rsidR="007B6D0A" w:rsidRPr="00505C95" w:rsidRDefault="00C50FFA" w:rsidP="00D77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156 </w:t>
      </w:r>
      <w:r w:rsidR="007B6D0A" w:rsidRPr="00505C95">
        <w:rPr>
          <w:rFonts w:ascii="Arial" w:hAnsi="Arial" w:cs="Arial"/>
          <w:b/>
          <w:sz w:val="28"/>
          <w:szCs w:val="28"/>
        </w:rPr>
        <w:t>Mannamead Road, Plymouth, PL3 5QL.</w:t>
      </w:r>
    </w:p>
    <w:p w:rsidR="00356C56" w:rsidRDefault="00356C56" w:rsidP="00D77AEB">
      <w:pPr>
        <w:jc w:val="center"/>
        <w:rPr>
          <w:rFonts w:ascii="Arial" w:hAnsi="Arial" w:cs="Arial"/>
          <w:sz w:val="28"/>
          <w:szCs w:val="28"/>
        </w:rPr>
      </w:pPr>
    </w:p>
    <w:p w:rsidR="007B6D0A" w:rsidRPr="00356C56" w:rsidRDefault="007B6D0A" w:rsidP="00D77AEB">
      <w:pPr>
        <w:jc w:val="center"/>
        <w:rPr>
          <w:rFonts w:ascii="Arial" w:hAnsi="Arial" w:cs="Arial"/>
          <w:b/>
          <w:sz w:val="28"/>
          <w:szCs w:val="28"/>
        </w:rPr>
      </w:pPr>
      <w:r w:rsidRPr="00356C56">
        <w:rPr>
          <w:rFonts w:ascii="Arial" w:hAnsi="Arial" w:cs="Arial"/>
          <w:b/>
          <w:sz w:val="28"/>
          <w:szCs w:val="28"/>
        </w:rPr>
        <w:t xml:space="preserve">For more information, registration or </w:t>
      </w:r>
      <w:proofErr w:type="gramStart"/>
      <w:r w:rsidRPr="00356C56">
        <w:rPr>
          <w:rFonts w:ascii="Arial" w:hAnsi="Arial" w:cs="Arial"/>
          <w:b/>
          <w:sz w:val="28"/>
          <w:szCs w:val="28"/>
        </w:rPr>
        <w:t>referral please</w:t>
      </w:r>
      <w:proofErr w:type="gramEnd"/>
      <w:r w:rsidRPr="00356C56">
        <w:rPr>
          <w:rFonts w:ascii="Arial" w:hAnsi="Arial" w:cs="Arial"/>
          <w:b/>
          <w:sz w:val="28"/>
          <w:szCs w:val="28"/>
        </w:rPr>
        <w:t xml:space="preserve"> contact:</w:t>
      </w:r>
    </w:p>
    <w:p w:rsidR="00505C95" w:rsidRDefault="00505C95" w:rsidP="00D77AEB">
      <w:pPr>
        <w:jc w:val="center"/>
        <w:rPr>
          <w:rFonts w:ascii="Arial" w:hAnsi="Arial" w:cs="Arial"/>
          <w:b/>
          <w:sz w:val="28"/>
          <w:szCs w:val="28"/>
        </w:rPr>
      </w:pPr>
    </w:p>
    <w:p w:rsidR="007B6D0A" w:rsidRPr="00356C56" w:rsidRDefault="00356C56" w:rsidP="00D77AEB">
      <w:pPr>
        <w:jc w:val="center"/>
        <w:rPr>
          <w:rFonts w:ascii="Arial" w:hAnsi="Arial" w:cs="Arial"/>
          <w:b/>
          <w:sz w:val="28"/>
          <w:szCs w:val="28"/>
        </w:rPr>
      </w:pPr>
      <w:r w:rsidRPr="00356C56">
        <w:rPr>
          <w:rFonts w:ascii="Arial" w:hAnsi="Arial" w:cs="Arial"/>
          <w:b/>
          <w:sz w:val="28"/>
          <w:szCs w:val="28"/>
        </w:rPr>
        <w:t xml:space="preserve">Jan White, </w:t>
      </w:r>
      <w:r w:rsidR="007B6D0A" w:rsidRPr="00356C56">
        <w:rPr>
          <w:rFonts w:ascii="Arial" w:hAnsi="Arial" w:cs="Arial"/>
          <w:b/>
          <w:sz w:val="28"/>
          <w:szCs w:val="28"/>
        </w:rPr>
        <w:t xml:space="preserve">Expert Patients </w:t>
      </w:r>
      <w:proofErr w:type="spellStart"/>
      <w:r w:rsidR="007B6D0A" w:rsidRPr="00356C56">
        <w:rPr>
          <w:rFonts w:ascii="Arial" w:hAnsi="Arial" w:cs="Arial"/>
          <w:b/>
          <w:sz w:val="28"/>
          <w:szCs w:val="28"/>
        </w:rPr>
        <w:t>Programme</w:t>
      </w:r>
      <w:proofErr w:type="spellEnd"/>
      <w:r w:rsidR="007B6D0A" w:rsidRPr="00356C56">
        <w:rPr>
          <w:rFonts w:ascii="Arial" w:hAnsi="Arial" w:cs="Arial"/>
          <w:b/>
          <w:sz w:val="28"/>
          <w:szCs w:val="28"/>
        </w:rPr>
        <w:t xml:space="preserve"> Co-</w:t>
      </w:r>
      <w:proofErr w:type="spellStart"/>
      <w:r w:rsidR="007B6D0A" w:rsidRPr="00356C56">
        <w:rPr>
          <w:rFonts w:ascii="Arial" w:hAnsi="Arial" w:cs="Arial"/>
          <w:b/>
          <w:sz w:val="28"/>
          <w:szCs w:val="28"/>
        </w:rPr>
        <w:t>ordinator</w:t>
      </w:r>
      <w:proofErr w:type="spellEnd"/>
    </w:p>
    <w:p w:rsidR="00AD2E03" w:rsidRPr="00356C56" w:rsidRDefault="00356C56" w:rsidP="006A78E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D77AEB" w:rsidRPr="00356C56">
        <w:rPr>
          <w:rFonts w:ascii="Arial" w:hAnsi="Arial" w:cs="Arial"/>
          <w:b/>
          <w:sz w:val="28"/>
          <w:szCs w:val="28"/>
        </w:rPr>
        <w:t>Tel: 017</w:t>
      </w:r>
      <w:r>
        <w:rPr>
          <w:rFonts w:ascii="Arial" w:hAnsi="Arial" w:cs="Arial"/>
          <w:b/>
          <w:sz w:val="28"/>
          <w:szCs w:val="28"/>
        </w:rPr>
        <w:t xml:space="preserve">52 201892        </w:t>
      </w:r>
      <w:r w:rsidR="007B6D0A" w:rsidRPr="00356C56">
        <w:rPr>
          <w:rFonts w:ascii="Arial" w:hAnsi="Arial" w:cs="Arial"/>
          <w:b/>
          <w:sz w:val="28"/>
          <w:szCs w:val="28"/>
        </w:rPr>
        <w:t xml:space="preserve">email: </w:t>
      </w:r>
      <w:hyperlink r:id="rId8" w:history="1">
        <w:r w:rsidR="006A78E5" w:rsidRPr="00356C56">
          <w:rPr>
            <w:rStyle w:val="Hyperlink"/>
            <w:rFonts w:ascii="Arial" w:hAnsi="Arial" w:cs="Arial"/>
            <w:b/>
            <w:sz w:val="28"/>
            <w:szCs w:val="28"/>
          </w:rPr>
          <w:t>jan@plymouthguild.org.uk</w:t>
        </w:r>
      </w:hyperlink>
    </w:p>
    <w:p w:rsidR="008A0EBF" w:rsidRDefault="00A14121" w:rsidP="00356C56">
      <w:pPr>
        <w:jc w:val="center"/>
      </w:pPr>
      <w:hyperlink r:id="rId9" w:history="1">
        <w:r w:rsidR="00356C56" w:rsidRPr="00356C56">
          <w:rPr>
            <w:rStyle w:val="Hyperlink"/>
            <w:rFonts w:ascii="Arial" w:hAnsi="Arial" w:cs="Arial"/>
            <w:b/>
            <w:sz w:val="28"/>
            <w:szCs w:val="28"/>
          </w:rPr>
          <w:t>http://www.plymouthguild.org.uk/long-term/</w:t>
        </w:r>
      </w:hyperlink>
    </w:p>
    <w:p w:rsidR="003D265D" w:rsidRDefault="003D265D" w:rsidP="00356C56">
      <w:pPr>
        <w:jc w:val="center"/>
      </w:pPr>
    </w:p>
    <w:p w:rsidR="003D265D" w:rsidRDefault="003D265D" w:rsidP="003D26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711200" cy="711200"/>
            <wp:effectExtent l="19050" t="0" r="0" b="0"/>
            <wp:docPr id="1" name="Picture 4" descr="W:\Admin Jan\Promotional Material\Healthy peo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Admin Jan\Promotional Material\Healthy peopl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41" cy="70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  <w:t xml:space="preserve">       </w:t>
      </w:r>
      <w:r w:rsidR="00D53DF2">
        <w:rPr>
          <w:rFonts w:ascii="Arial" w:hAnsi="Arial" w:cs="Arial"/>
          <w:noProof/>
          <w:sz w:val="28"/>
          <w:szCs w:val="28"/>
          <w:lang w:val="en-GB"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 xml:space="preserve">               </w:t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 w:rsidR="00D53DF2"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 w:rsidR="00D53DF2"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 w:rsidR="00D53DF2"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 xml:space="preserve">   </w:t>
      </w:r>
      <w:r w:rsidR="001F0198" w:rsidRPr="00FE3B5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207499" cy="533400"/>
            <wp:effectExtent l="19050" t="0" r="0" b="0"/>
            <wp:docPr id="12" name="Picture 3" descr="W:\Admin Jan\Promotional Material\Devoncc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Admin Jan\Promotional Material\Devonccg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67" cy="53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 xml:space="preserve">         </w:t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ab/>
      </w:r>
    </w:p>
    <w:p w:rsidR="00356C56" w:rsidRPr="00356C56" w:rsidRDefault="00356C56" w:rsidP="00356C56">
      <w:pPr>
        <w:jc w:val="center"/>
        <w:rPr>
          <w:rFonts w:ascii="Arial" w:hAnsi="Arial" w:cs="Arial"/>
          <w:b/>
          <w:sz w:val="28"/>
          <w:szCs w:val="28"/>
        </w:rPr>
      </w:pPr>
    </w:p>
    <w:sectPr w:rsidR="00356C56" w:rsidRPr="00356C56" w:rsidSect="0097702B">
      <w:pgSz w:w="12240" w:h="15840"/>
      <w:pgMar w:top="56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0E8B"/>
    <w:multiLevelType w:val="hybridMultilevel"/>
    <w:tmpl w:val="F98C3B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A793F"/>
    <w:multiLevelType w:val="hybridMultilevel"/>
    <w:tmpl w:val="DEE2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62DDB"/>
    <w:multiLevelType w:val="hybridMultilevel"/>
    <w:tmpl w:val="E81E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1067F"/>
    <w:multiLevelType w:val="hybridMultilevel"/>
    <w:tmpl w:val="CACC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B629F"/>
    <w:multiLevelType w:val="hybridMultilevel"/>
    <w:tmpl w:val="6162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E69AB"/>
    <w:multiLevelType w:val="hybridMultilevel"/>
    <w:tmpl w:val="9454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D4AC5"/>
    <w:multiLevelType w:val="hybridMultilevel"/>
    <w:tmpl w:val="3CC6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BF"/>
    <w:rsid w:val="000C3ED9"/>
    <w:rsid w:val="000E70BB"/>
    <w:rsid w:val="001476F1"/>
    <w:rsid w:val="00164C73"/>
    <w:rsid w:val="001A4220"/>
    <w:rsid w:val="001C0668"/>
    <w:rsid w:val="001D6466"/>
    <w:rsid w:val="001F0198"/>
    <w:rsid w:val="001F7C02"/>
    <w:rsid w:val="00217A52"/>
    <w:rsid w:val="0026432C"/>
    <w:rsid w:val="002A0690"/>
    <w:rsid w:val="002C516E"/>
    <w:rsid w:val="002D6A77"/>
    <w:rsid w:val="002E3CF9"/>
    <w:rsid w:val="003045E4"/>
    <w:rsid w:val="00304ECF"/>
    <w:rsid w:val="00356C56"/>
    <w:rsid w:val="00376EB0"/>
    <w:rsid w:val="00384080"/>
    <w:rsid w:val="003D265D"/>
    <w:rsid w:val="00490F28"/>
    <w:rsid w:val="004A69E1"/>
    <w:rsid w:val="004C1C54"/>
    <w:rsid w:val="00505C95"/>
    <w:rsid w:val="00514D42"/>
    <w:rsid w:val="00522C52"/>
    <w:rsid w:val="00537D6D"/>
    <w:rsid w:val="00576561"/>
    <w:rsid w:val="00584D5E"/>
    <w:rsid w:val="005B3F55"/>
    <w:rsid w:val="00604E71"/>
    <w:rsid w:val="006218D8"/>
    <w:rsid w:val="00635D3D"/>
    <w:rsid w:val="00646114"/>
    <w:rsid w:val="00672ADE"/>
    <w:rsid w:val="006737CF"/>
    <w:rsid w:val="006A78E5"/>
    <w:rsid w:val="006C3A6B"/>
    <w:rsid w:val="006C3CB9"/>
    <w:rsid w:val="007238C3"/>
    <w:rsid w:val="0078558F"/>
    <w:rsid w:val="007A26AA"/>
    <w:rsid w:val="007A38BE"/>
    <w:rsid w:val="007B6D0A"/>
    <w:rsid w:val="00845C35"/>
    <w:rsid w:val="00870523"/>
    <w:rsid w:val="00896D4B"/>
    <w:rsid w:val="00896F62"/>
    <w:rsid w:val="008A0EBF"/>
    <w:rsid w:val="008A4745"/>
    <w:rsid w:val="008A5CAF"/>
    <w:rsid w:val="008F3937"/>
    <w:rsid w:val="00900724"/>
    <w:rsid w:val="00930F6C"/>
    <w:rsid w:val="0096523E"/>
    <w:rsid w:val="0097702B"/>
    <w:rsid w:val="009801F0"/>
    <w:rsid w:val="009A623A"/>
    <w:rsid w:val="00A14121"/>
    <w:rsid w:val="00A14334"/>
    <w:rsid w:val="00A45B67"/>
    <w:rsid w:val="00A5444E"/>
    <w:rsid w:val="00A719FF"/>
    <w:rsid w:val="00AA0D8F"/>
    <w:rsid w:val="00AA2923"/>
    <w:rsid w:val="00AD2E03"/>
    <w:rsid w:val="00AD379A"/>
    <w:rsid w:val="00AE3D5F"/>
    <w:rsid w:val="00B12C9A"/>
    <w:rsid w:val="00B62BB8"/>
    <w:rsid w:val="00C00B18"/>
    <w:rsid w:val="00C43E13"/>
    <w:rsid w:val="00C50FFA"/>
    <w:rsid w:val="00D138F4"/>
    <w:rsid w:val="00D211CD"/>
    <w:rsid w:val="00D26AB3"/>
    <w:rsid w:val="00D456A5"/>
    <w:rsid w:val="00D53DF2"/>
    <w:rsid w:val="00D77AEB"/>
    <w:rsid w:val="00D90159"/>
    <w:rsid w:val="00DA03DB"/>
    <w:rsid w:val="00DE691D"/>
    <w:rsid w:val="00E2306B"/>
    <w:rsid w:val="00E327CB"/>
    <w:rsid w:val="00E459D7"/>
    <w:rsid w:val="00E75C16"/>
    <w:rsid w:val="00EC7D17"/>
    <w:rsid w:val="00ED49C3"/>
    <w:rsid w:val="00F23429"/>
    <w:rsid w:val="00F26A59"/>
    <w:rsid w:val="00FD33AD"/>
    <w:rsid w:val="00FD34A8"/>
    <w:rsid w:val="00FE36F1"/>
    <w:rsid w:val="00FE3758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3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EB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8A0EBF"/>
    <w:rPr>
      <w:i/>
      <w:iCs/>
    </w:rPr>
  </w:style>
  <w:style w:type="paragraph" w:styleId="BalloonText">
    <w:name w:val="Balloon Text"/>
    <w:basedOn w:val="Normal"/>
    <w:semiHidden/>
    <w:rsid w:val="00AE3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6D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3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EB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8A0EBF"/>
    <w:rPr>
      <w:i/>
      <w:iCs/>
    </w:rPr>
  </w:style>
  <w:style w:type="paragraph" w:styleId="BalloonText">
    <w:name w:val="Balloon Text"/>
    <w:basedOn w:val="Normal"/>
    <w:semiHidden/>
    <w:rsid w:val="00AE3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6D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plymouthguild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lymouthguild.org.uk/long-te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Expert Patients Programme is an NHS funded course that provides opportunities to people who live with any long-term condition(s) to develop new skills to manage their condition better on a day-to-day basis, leading to an improved quality of life</vt:lpstr>
    </vt:vector>
  </TitlesOfParts>
  <Company>Plymouth Guild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Expert Patients Programme is an NHS funded course that provides opportunities to people who live with any long-term condition(s) to develop new skills to manage their condition better on a day-to-day basis, leading to an improved quality of life</dc:title>
  <dc:creator>Jan White</dc:creator>
  <cp:lastModifiedBy>test user</cp:lastModifiedBy>
  <cp:revision>2</cp:revision>
  <cp:lastPrinted>2014-07-01T11:00:00Z</cp:lastPrinted>
  <dcterms:created xsi:type="dcterms:W3CDTF">2015-08-21T13:07:00Z</dcterms:created>
  <dcterms:modified xsi:type="dcterms:W3CDTF">2015-08-21T13:07:00Z</dcterms:modified>
</cp:coreProperties>
</file>